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251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</w:t>
      </w:r>
      <w:r w:rsidR="00F25133">
        <w:rPr>
          <w:sz w:val="28"/>
          <w:szCs w:val="28"/>
        </w:rPr>
        <w:t xml:space="preserve">              </w:t>
      </w:r>
      <w:r w:rsidRPr="0087024A">
        <w:rPr>
          <w:sz w:val="28"/>
          <w:szCs w:val="28"/>
        </w:rPr>
        <w:t xml:space="preserve">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от ______________ № _______</w:t>
      </w: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Должанского </w:t>
      </w:r>
      <w:r w:rsidRPr="00D52A6F">
        <w:rPr>
          <w:b/>
          <w:sz w:val="28"/>
          <w:szCs w:val="28"/>
        </w:rPr>
        <w:t>сельского поселения Ейского района</w:t>
      </w:r>
      <w:r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Ейский район от 24 декабря 2014</w:t>
      </w:r>
      <w:r w:rsidRPr="00D52A6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291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ab/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0763A3">
        <w:rPr>
          <w:sz w:val="28"/>
          <w:szCs w:val="28"/>
        </w:rPr>
        <w:t>Должанского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0763A3" w:rsidRPr="000763A3">
        <w:rPr>
          <w:sz w:val="28"/>
          <w:szCs w:val="28"/>
        </w:rPr>
        <w:t>24 декабря 2014 года № 291</w:t>
      </w:r>
      <w:r w:rsidRPr="0087024A">
        <w:rPr>
          <w:sz w:val="28"/>
          <w:szCs w:val="28"/>
        </w:rPr>
        <w:t>, следующие изменения:</w:t>
      </w:r>
    </w:p>
    <w:p w:rsidR="000763A3" w:rsidRDefault="000763A3" w:rsidP="000763A3">
      <w:pPr>
        <w:ind w:firstLine="709"/>
        <w:jc w:val="both"/>
        <w:rPr>
          <w:sz w:val="28"/>
          <w:szCs w:val="28"/>
        </w:rPr>
      </w:pPr>
      <w:bookmarkStart w:id="4" w:name="_Toc344077953"/>
      <w:bookmarkStart w:id="5" w:name="_Toc349045523"/>
      <w:bookmarkStart w:id="6" w:name="_Toc357004095"/>
      <w:bookmarkStart w:id="7" w:name="_Toc361819819"/>
      <w:bookmarkStart w:id="8" w:name="_Toc374709554"/>
      <w:bookmarkStart w:id="9" w:name="_Toc374973517"/>
      <w:bookmarkStart w:id="10" w:name="_Toc339439081"/>
      <w:bookmarkStart w:id="11" w:name="_Toc344077979"/>
      <w:bookmarkStart w:id="12" w:name="_Toc349045525"/>
      <w:bookmarkStart w:id="13" w:name="_Toc339439105"/>
      <w:bookmarkEnd w:id="0"/>
      <w:bookmarkEnd w:id="1"/>
      <w:bookmarkEnd w:id="2"/>
      <w:bookmarkEnd w:id="3"/>
      <w:r>
        <w:rPr>
          <w:rFonts w:eastAsiaTheme="minorHAnsi"/>
          <w:iCs/>
          <w:color w:val="000000"/>
          <w:sz w:val="24"/>
          <w:szCs w:val="24"/>
          <w:lang w:eastAsia="en-US"/>
        </w:rPr>
        <w:t xml:space="preserve">1. </w:t>
      </w:r>
      <w:r w:rsidRPr="000763A3">
        <w:rPr>
          <w:sz w:val="28"/>
          <w:szCs w:val="28"/>
        </w:rPr>
        <w:t>Сократить границы территориальной зоны «ОД-4. Зона объектов образования» до пересечения с улицей Ленина, увеличив при этом территориальную зону «Р-1. Зона рекреационного назначения», в соответствии с генеральным планом Должанского сельского поселения</w:t>
      </w:r>
      <w:r w:rsidR="00C01E9E">
        <w:rPr>
          <w:sz w:val="28"/>
          <w:szCs w:val="28"/>
        </w:rPr>
        <w:t>.</w:t>
      </w:r>
    </w:p>
    <w:p w:rsidR="00C01E9E" w:rsidRDefault="00C01E9E" w:rsidP="000763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4FC0" w:rsidRPr="009A4FC0">
        <w:rPr>
          <w:sz w:val="28"/>
          <w:szCs w:val="28"/>
        </w:rPr>
        <w:t>Дополнить перечень видов разрешенного использования земельных участков и объектов капитального строительства градостроительного регламента территориальной зоны «Ж-1Б. Зона застройки индивидуальными жилыми домами с ведением личного подсобного хозяйства» основным видом разрешенного использования «Малоэтажная многоквартирная жилая застройка» (код по классификатору 2.1.1</w:t>
      </w:r>
      <w:r w:rsidR="009A4FC0">
        <w:rPr>
          <w:sz w:val="28"/>
          <w:szCs w:val="28"/>
        </w:rPr>
        <w:t>)</w:t>
      </w:r>
    </w:p>
    <w:p w:rsidR="00CE0BFD" w:rsidRDefault="00C83127" w:rsidP="00CE0BFD">
      <w:pPr>
        <w:pStyle w:val="a6"/>
        <w:ind w:left="0" w:firstLine="708"/>
        <w:jc w:val="both"/>
        <w:rPr>
          <w:sz w:val="28"/>
          <w:szCs w:val="28"/>
          <w:lang w:val="ru-RU"/>
        </w:rPr>
      </w:pPr>
      <w:r w:rsidRPr="00434831">
        <w:rPr>
          <w:sz w:val="28"/>
          <w:szCs w:val="28"/>
          <w:lang w:val="ru-RU"/>
        </w:rPr>
        <w:t>Изложить статью 4</w:t>
      </w:r>
      <w:r>
        <w:rPr>
          <w:sz w:val="28"/>
          <w:szCs w:val="28"/>
          <w:lang w:val="ru-RU"/>
        </w:rPr>
        <w:t>8</w:t>
      </w:r>
      <w:r w:rsidRPr="00434831">
        <w:rPr>
          <w:sz w:val="28"/>
          <w:szCs w:val="28"/>
          <w:lang w:val="ru-RU"/>
        </w:rPr>
        <w:t xml:space="preserve"> «Градостроительные регламенты. </w:t>
      </w:r>
      <w:r>
        <w:rPr>
          <w:sz w:val="28"/>
          <w:szCs w:val="28"/>
          <w:lang w:val="ru-RU"/>
        </w:rPr>
        <w:t>Жилые зоны</w:t>
      </w:r>
      <w:r w:rsidRPr="00434831">
        <w:rPr>
          <w:sz w:val="28"/>
          <w:szCs w:val="28"/>
          <w:lang w:val="ru-RU"/>
        </w:rPr>
        <w:t>» «</w:t>
      </w:r>
      <w:r>
        <w:rPr>
          <w:sz w:val="28"/>
          <w:szCs w:val="28"/>
          <w:lang w:val="ru-RU"/>
        </w:rPr>
        <w:t>Ж-1Б. Зона застройки индивидуальными жилыми домами с ведением личного подсобного хозяйства</w:t>
      </w:r>
      <w:r w:rsidRPr="00434831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в</w:t>
      </w:r>
      <w:r w:rsidR="000E21D8">
        <w:rPr>
          <w:sz w:val="28"/>
          <w:szCs w:val="28"/>
          <w:lang w:val="ru-RU"/>
        </w:rPr>
        <w:t xml:space="preserve"> части основных видов разрешенного использования в</w:t>
      </w:r>
      <w:r>
        <w:rPr>
          <w:sz w:val="28"/>
          <w:szCs w:val="28"/>
          <w:lang w:val="ru-RU"/>
        </w:rPr>
        <w:t xml:space="preserve"> следующей редакции:</w:t>
      </w:r>
    </w:p>
    <w:p w:rsidR="00610E0E" w:rsidRPr="000E21D8" w:rsidRDefault="00610E0E" w:rsidP="000E21D8">
      <w:pPr>
        <w:rPr>
          <w:rFonts w:ascii="Cambria" w:hAnsi="Cambria"/>
          <w:b/>
          <w:sz w:val="28"/>
          <w:szCs w:val="28"/>
        </w:rPr>
      </w:pPr>
    </w:p>
    <w:p w:rsidR="00C83127" w:rsidRPr="00CE0BFD" w:rsidRDefault="00C83127" w:rsidP="00CE0BFD">
      <w:pPr>
        <w:pStyle w:val="a6"/>
        <w:ind w:left="0" w:firstLine="708"/>
        <w:jc w:val="center"/>
        <w:rPr>
          <w:sz w:val="28"/>
          <w:szCs w:val="28"/>
          <w:lang w:val="ru-RU"/>
        </w:rPr>
      </w:pPr>
      <w:r w:rsidRPr="00CE0BFD">
        <w:rPr>
          <w:rFonts w:ascii="Cambria" w:hAnsi="Cambria"/>
          <w:b/>
          <w:sz w:val="28"/>
          <w:szCs w:val="28"/>
        </w:rPr>
        <w:lastRenderedPageBreak/>
        <w:t>Статья 48. Градостроительные регламенты. Жилые зоны.</w:t>
      </w:r>
    </w:p>
    <w:p w:rsidR="00C83127" w:rsidRPr="00CE0BFD" w:rsidRDefault="00C83127" w:rsidP="00CE0BF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CE0BFD">
        <w:rPr>
          <w:rFonts w:eastAsia="SimSun"/>
          <w:b/>
          <w:color w:val="000000"/>
          <w:sz w:val="28"/>
          <w:szCs w:val="28"/>
          <w:u w:val="single"/>
          <w:lang w:eastAsia="zh-CN"/>
        </w:rPr>
        <w:t>Ж–1Б. Зона застройки индивидуальными жилыми домами с ведением личного подсобного хозяйства.</w:t>
      </w:r>
    </w:p>
    <w:p w:rsidR="00C83127" w:rsidRPr="00385BC0" w:rsidRDefault="00C83127" w:rsidP="00C83127">
      <w:pPr>
        <w:widowControl w:val="0"/>
        <w:ind w:firstLine="709"/>
        <w:jc w:val="both"/>
        <w:rPr>
          <w:rFonts w:eastAsiaTheme="minorHAnsi"/>
          <w:i/>
          <w:iCs/>
          <w:color w:val="000000"/>
          <w:sz w:val="24"/>
          <w:szCs w:val="24"/>
          <w:lang w:eastAsia="en-US"/>
        </w:rPr>
      </w:pPr>
    </w:p>
    <w:p w:rsidR="00C83127" w:rsidRDefault="00C83127" w:rsidP="00C83127">
      <w:pPr>
        <w:widowControl w:val="0"/>
        <w:ind w:firstLine="851"/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  <w:r w:rsidRPr="00610E0E">
        <w:rPr>
          <w:rFonts w:eastAsiaTheme="minorHAnsi"/>
          <w:iCs/>
          <w:color w:val="000000"/>
          <w:sz w:val="28"/>
          <w:szCs w:val="28"/>
          <w:lang w:eastAsia="en-US"/>
        </w:rPr>
        <w:t xml:space="preserve">Зона индивидуальной жилой застройки Ж-1Б выделена для обеспечения правовых, социальных, культурных,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хозяйства, а также с минимально разрешенным набором услуг местного значения. </w:t>
      </w:r>
    </w:p>
    <w:p w:rsidR="004D73C7" w:rsidRDefault="004D73C7" w:rsidP="00C83127">
      <w:pPr>
        <w:widowControl w:val="0"/>
        <w:ind w:firstLine="851"/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4960"/>
        <w:gridCol w:w="850"/>
        <w:gridCol w:w="5531"/>
      </w:tblGrid>
      <w:tr w:rsidR="004D73C7" w:rsidRPr="00B707E0" w:rsidTr="004D73C7">
        <w:tc>
          <w:tcPr>
            <w:tcW w:w="567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№</w:t>
            </w: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4960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Описание видов разрешенного использования земельных участков и объектов капитального строительства</w:t>
            </w:r>
          </w:p>
          <w:p w:rsidR="004D73C7" w:rsidRPr="00B707E0" w:rsidRDefault="004D73C7" w:rsidP="004D73C7">
            <w:pPr>
              <w:contextualSpacing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D73C7" w:rsidRPr="00B707E0" w:rsidTr="004D73C7">
        <w:tc>
          <w:tcPr>
            <w:tcW w:w="567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0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</w:tr>
      <w:tr w:rsidR="004D73C7" w:rsidRPr="00B707E0" w:rsidTr="004D73C7">
        <w:tc>
          <w:tcPr>
            <w:tcW w:w="14600" w:type="dxa"/>
            <w:gridSpan w:val="5"/>
          </w:tcPr>
          <w:p w:rsidR="004D73C7" w:rsidRPr="00B707E0" w:rsidRDefault="004D73C7" w:rsidP="004D73C7">
            <w:pPr>
              <w:contextualSpacing/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Основные виды разрешенного использования</w:t>
            </w:r>
          </w:p>
        </w:tc>
      </w:tr>
      <w:tr w:rsidR="004D73C7" w:rsidRPr="00B707E0" w:rsidTr="004D73C7">
        <w:trPr>
          <w:trHeight w:val="278"/>
        </w:trPr>
        <w:tc>
          <w:tcPr>
            <w:tcW w:w="567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индивидуального жилищного строительства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размещение индивидуальных гаражей и подсобных сооружений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2.1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31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rFonts w:eastAsia="Times New Roman CYR"/>
                <w:color w:val="000000" w:themeColor="text1"/>
                <w:sz w:val="24"/>
                <w:szCs w:val="24"/>
              </w:rPr>
              <w:lastRenderedPageBreak/>
              <w:t>м</w:t>
            </w:r>
            <w:r w:rsidRPr="00B707E0">
              <w:rPr>
                <w:sz w:val="24"/>
                <w:szCs w:val="24"/>
              </w:rPr>
              <w:t xml:space="preserve">инимальная (максимальная) площадь земельных участков: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отдельно стоящие жилые дома коттеджного типа</w:t>
            </w:r>
            <w:r>
              <w:rPr>
                <w:sz w:val="24"/>
                <w:szCs w:val="24"/>
              </w:rPr>
              <w:t xml:space="preserve"> на одну семью в 1 - 3 этажа – </w:t>
            </w:r>
            <w:r w:rsidRPr="00B707E0">
              <w:rPr>
                <w:sz w:val="24"/>
                <w:szCs w:val="24"/>
              </w:rPr>
              <w:t>300 – 5000 кв. м;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дома коттеджного типа на одну семью в 1 - 3 этажа –  300 – 5000 кв. м;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 блокированные жилые дома не выше 3 этажей – 300 – 5000 кв. м;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4D73C7" w:rsidRPr="00B707E0" w:rsidRDefault="004D73C7" w:rsidP="004D73C7">
            <w:pPr>
              <w:widowControl w:val="0"/>
              <w:autoSpaceDE w:val="0"/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Минимальная ширина земельных участков вдоль фронта улицы (проезда) – 12 м, минимальный отступ строений от красной линии улиц или границ участка не менее чем на - 5 м, от границ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соседнего участка не менее 3 м.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 xml:space="preserve"> Септики: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 xml:space="preserve">- минимальный отступ от границы соседнего земельного участка – не менее 2 м (при условии, что расстояние от фундаментов построек на соседнем земельном участке не менее 5 м.);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 xml:space="preserve">- водонепроницаемые – на расстоянии не менее 5 м от фундамента построек,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фильтрующие – на расстоянии не менее 8 м от фундамента построек;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при отсутствии централизованной канализации расстояние от туалета до стен соседнего жилого дома необходимо принимать не менее 12 м., до источника водоснабжения (колодца) – не менее 25 м.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максимальное количество надземных этажей объекта индивидуального жилищного строительства - 3; </w:t>
            </w:r>
          </w:p>
          <w:p w:rsidR="004D73C7" w:rsidRPr="00B707E0" w:rsidRDefault="004D73C7" w:rsidP="004D73C7">
            <w:pPr>
              <w:widowControl w:val="0"/>
              <w:autoSpaceDE w:val="0"/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объекта индивидуального жилищного строительства не более 20 метров;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Максимальный процент застройки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60%  </w:t>
            </w:r>
          </w:p>
        </w:tc>
      </w:tr>
      <w:tr w:rsidR="004D73C7" w:rsidRPr="00B707E0" w:rsidTr="004D73C7">
        <w:trPr>
          <w:trHeight w:val="240"/>
        </w:trPr>
        <w:tc>
          <w:tcPr>
            <w:tcW w:w="567" w:type="dxa"/>
          </w:tcPr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8312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C83127" w:rsidRDefault="004D73C7" w:rsidP="000E21D8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</w:tcPr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  <w:bookmarkStart w:id="14" w:name="sub_10211"/>
            <w:r w:rsidRPr="00C83127">
              <w:rPr>
                <w:sz w:val="24"/>
                <w:szCs w:val="24"/>
              </w:rPr>
              <w:lastRenderedPageBreak/>
              <w:t>Малоэтажная многоквартирная жилая застройка</w:t>
            </w:r>
            <w:bookmarkEnd w:id="14"/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0E21D8" w:rsidRDefault="000E21D8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C83127" w:rsidRDefault="004D73C7" w:rsidP="000E21D8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4D73C7" w:rsidRPr="00C83127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83127">
              <w:rPr>
                <w:rFonts w:ascii="Times New Roman" w:hAnsi="Times New Roman"/>
              </w:rPr>
              <w:lastRenderedPageBreak/>
              <w:t>размещение малоэтажного многоквартирного жилого дома, (дом, пригодный для постоянного проживания, высотой до 4 этажей, включая мансардный);</w:t>
            </w: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83127">
              <w:rPr>
                <w:sz w:val="24"/>
                <w:szCs w:val="24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</w:t>
            </w:r>
            <w:r>
              <w:rPr>
                <w:sz w:val="24"/>
                <w:szCs w:val="24"/>
              </w:rPr>
              <w:t xml:space="preserve">   </w:t>
            </w:r>
            <w:r w:rsidRPr="00C8312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  </w:t>
            </w:r>
            <w:r w:rsidRPr="00C83127">
              <w:rPr>
                <w:sz w:val="24"/>
                <w:szCs w:val="24"/>
              </w:rPr>
              <w:t xml:space="preserve"> встроенно-пристроенных </w:t>
            </w:r>
          </w:p>
          <w:p w:rsidR="000E21D8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83127">
              <w:rPr>
                <w:sz w:val="24"/>
                <w:szCs w:val="24"/>
              </w:rPr>
              <w:t xml:space="preserve">помещениях малоэтажного </w:t>
            </w:r>
          </w:p>
          <w:p w:rsidR="000E21D8" w:rsidRDefault="000E21D8" w:rsidP="000E21D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83127">
              <w:rPr>
                <w:sz w:val="24"/>
                <w:szCs w:val="24"/>
              </w:rPr>
              <w:t>многоквартирного дома, если общая площадь таких</w:t>
            </w:r>
            <w:r>
              <w:rPr>
                <w:sz w:val="24"/>
                <w:szCs w:val="24"/>
              </w:rPr>
              <w:t xml:space="preserve"> </w:t>
            </w:r>
            <w:r w:rsidRPr="00C83127">
              <w:rPr>
                <w:sz w:val="24"/>
                <w:szCs w:val="24"/>
              </w:rPr>
              <w:t>помещений в малоэтажном многоквартирном доме не составляет более 15% общей площади помещений дома</w:t>
            </w: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0E21D8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21D8" w:rsidRDefault="000E21D8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4D73C7" w:rsidRPr="00B707E0" w:rsidRDefault="004D73C7" w:rsidP="000E21D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  <w:r w:rsidRPr="00C83127">
              <w:rPr>
                <w:sz w:val="24"/>
                <w:szCs w:val="24"/>
              </w:rPr>
              <w:lastRenderedPageBreak/>
              <w:t>2.1.1</w:t>
            </w: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0E21D8" w:rsidRDefault="000E21D8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both"/>
              <w:rPr>
                <w:sz w:val="24"/>
                <w:szCs w:val="24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C83127" w:rsidRDefault="004D73C7" w:rsidP="000E21D8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31" w:type="dxa"/>
          </w:tcPr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lastRenderedPageBreak/>
              <w:t xml:space="preserve">минимальная (максимальная) площадь земельных участков: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- многоквартирные малоэтажные жилые дома не выше 4 этажей – до 15000 кв. м;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- для объектов торговли и обслуживания – 10 –(2500) кв. м;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0E21D8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минимальная</w:t>
            </w:r>
            <w:r w:rsidR="000E21D8">
              <w:rPr>
                <w:sz w:val="24"/>
                <w:szCs w:val="24"/>
              </w:rPr>
              <w:t xml:space="preserve"> </w:t>
            </w:r>
            <w:r w:rsidRPr="00CE0BFD">
              <w:rPr>
                <w:sz w:val="24"/>
                <w:szCs w:val="24"/>
              </w:rPr>
              <w:t xml:space="preserve"> ширина </w:t>
            </w:r>
            <w:r w:rsidR="000E21D8">
              <w:rPr>
                <w:sz w:val="24"/>
                <w:szCs w:val="24"/>
              </w:rPr>
              <w:t xml:space="preserve">  </w:t>
            </w:r>
            <w:r w:rsidRPr="00CE0BFD">
              <w:rPr>
                <w:sz w:val="24"/>
                <w:szCs w:val="24"/>
              </w:rPr>
              <w:t>земельных</w:t>
            </w:r>
            <w:r w:rsidR="000E21D8">
              <w:rPr>
                <w:sz w:val="24"/>
                <w:szCs w:val="24"/>
              </w:rPr>
              <w:t xml:space="preserve"> </w:t>
            </w:r>
            <w:r w:rsidRPr="00CE0BFD">
              <w:rPr>
                <w:sz w:val="24"/>
                <w:szCs w:val="24"/>
              </w:rPr>
              <w:t xml:space="preserve"> участков </w:t>
            </w:r>
            <w:r w:rsidR="000E21D8">
              <w:rPr>
                <w:sz w:val="24"/>
                <w:szCs w:val="24"/>
              </w:rPr>
              <w:t xml:space="preserve"> </w:t>
            </w:r>
            <w:r w:rsidRPr="00CE0BFD">
              <w:rPr>
                <w:sz w:val="24"/>
                <w:szCs w:val="24"/>
              </w:rPr>
              <w:t xml:space="preserve">вдоль </w:t>
            </w:r>
          </w:p>
          <w:p w:rsidR="000E21D8" w:rsidRPr="000E21D8" w:rsidRDefault="000E21D8" w:rsidP="000E21D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  <w:p w:rsidR="004D73C7" w:rsidRPr="00CE0BFD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фронта улицы (проезда) – 12 м;</w:t>
            </w:r>
          </w:p>
          <w:p w:rsidR="004D73C7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 xml:space="preserve">минимальный </w:t>
            </w:r>
            <w:r>
              <w:rPr>
                <w:rFonts w:ascii="Times New Roman" w:hAnsi="Times New Roman"/>
              </w:rPr>
              <w:t xml:space="preserve"> </w:t>
            </w:r>
            <w:r w:rsidRPr="00CE0BFD">
              <w:rPr>
                <w:rFonts w:ascii="Times New Roman" w:hAnsi="Times New Roman"/>
              </w:rPr>
              <w:t xml:space="preserve">отступ </w:t>
            </w:r>
            <w:r>
              <w:rPr>
                <w:rFonts w:ascii="Times New Roman" w:hAnsi="Times New Roman"/>
              </w:rPr>
              <w:t xml:space="preserve"> </w:t>
            </w:r>
            <w:r w:rsidRPr="00CE0BFD">
              <w:rPr>
                <w:rFonts w:ascii="Times New Roman" w:hAnsi="Times New Roman"/>
              </w:rPr>
              <w:t>строений</w:t>
            </w:r>
            <w:r>
              <w:rPr>
                <w:rFonts w:ascii="Times New Roman" w:hAnsi="Times New Roman"/>
              </w:rPr>
              <w:t xml:space="preserve"> </w:t>
            </w:r>
            <w:r w:rsidRPr="00CE0BFD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 xml:space="preserve"> </w:t>
            </w:r>
            <w:r w:rsidRPr="00CE0BFD">
              <w:rPr>
                <w:rFonts w:ascii="Times New Roman" w:hAnsi="Times New Roman"/>
              </w:rPr>
              <w:t xml:space="preserve"> красной линии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 xml:space="preserve">улиц или границ участка не менее чем на - 5 м,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 xml:space="preserve">бытовые разрывы между длинными сторонами секционных жилых зданий высотой 2 - 3 этажа должны быть не менее 15 м, а между зданиями высотой 4 этажа - не менее 20 м, между длинными сторонами и торцами этих же зданий с окнами из жилых комнат - не менее 10 м.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Септики: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 xml:space="preserve">- минимальный отступ от границы соседнего земельного участка – не менее 2 м (при условии, что расстояние от фундаментов построек на соседнем земельном участке не менее 5 м.);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 xml:space="preserve">- водонепроницаемые – на расстоянии не менее 5 м от фундамента построек, </w:t>
            </w:r>
          </w:p>
          <w:p w:rsidR="004D73C7" w:rsidRPr="00CE0BFD" w:rsidRDefault="004D73C7" w:rsidP="004D73C7">
            <w:pPr>
              <w:pStyle w:val="aa"/>
              <w:jc w:val="left"/>
              <w:rPr>
                <w:rFonts w:ascii="Times New Roman" w:hAnsi="Times New Roman"/>
              </w:rPr>
            </w:pPr>
            <w:r w:rsidRPr="00CE0BFD">
              <w:rPr>
                <w:rFonts w:ascii="Times New Roman" w:hAnsi="Times New Roman"/>
              </w:rPr>
              <w:t>- фильтрующие – на расстоянии не менее 8 м от фундамента построек;</w:t>
            </w:r>
          </w:p>
          <w:p w:rsidR="004D73C7" w:rsidRPr="00CE0BFD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- при отсутствии централизованной канализации расстояние от туалета до стен соседнего жилого дома необходимо принимать не менее 12 м., до источника водоснабжения (колодца) – не менее 25 м.</w:t>
            </w:r>
          </w:p>
          <w:p w:rsidR="004D73C7" w:rsidRPr="00CE0BFD" w:rsidRDefault="004D73C7" w:rsidP="004D73C7">
            <w:pPr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 xml:space="preserve">максимальное количество надземных этажей зданий - 4 этажа </w:t>
            </w:r>
          </w:p>
          <w:p w:rsidR="004D73C7" w:rsidRPr="00CE0BFD" w:rsidRDefault="004D73C7" w:rsidP="004D73C7">
            <w:pPr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максимальная высота зданий от уровня земли до верха перекрытия последнего этажа - 15 м;</w:t>
            </w:r>
          </w:p>
          <w:p w:rsidR="004D73C7" w:rsidRPr="00CE0BFD" w:rsidRDefault="004D73C7" w:rsidP="004D73C7">
            <w:pPr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максимальный процент застройки участка:</w:t>
            </w:r>
          </w:p>
          <w:p w:rsidR="004D73C7" w:rsidRPr="00CE0BFD" w:rsidRDefault="004D73C7" w:rsidP="004D73C7">
            <w:pPr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- 60%;</w:t>
            </w:r>
          </w:p>
          <w:p w:rsidR="004D73C7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 xml:space="preserve">На территории малоэтажной жилой застройки следует предусматривать 100-процентную обеспеченность местами для хранения и парковки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0BFD">
              <w:rPr>
                <w:sz w:val="24"/>
                <w:szCs w:val="24"/>
              </w:rPr>
              <w:t>легковых автомобилей, мотоциклов, мопедов</w:t>
            </w:r>
          </w:p>
        </w:tc>
      </w:tr>
      <w:tr w:rsidR="000E21D8" w:rsidRPr="00B707E0" w:rsidTr="006E4F11">
        <w:tc>
          <w:tcPr>
            <w:tcW w:w="567" w:type="dxa"/>
          </w:tcPr>
          <w:p w:rsidR="000E21D8" w:rsidRPr="00B707E0" w:rsidRDefault="000E21D8" w:rsidP="006E4F11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2" w:type="dxa"/>
          </w:tcPr>
          <w:p w:rsidR="000E21D8" w:rsidRPr="00B707E0" w:rsidRDefault="000E21D8" w:rsidP="006E4F11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0" w:type="dxa"/>
          </w:tcPr>
          <w:p w:rsidR="000E21D8" w:rsidRPr="00B707E0" w:rsidRDefault="000E21D8" w:rsidP="006E4F11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:rsidR="000E21D8" w:rsidRPr="00B707E0" w:rsidRDefault="000E21D8" w:rsidP="006E4F11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31" w:type="dxa"/>
          </w:tcPr>
          <w:p w:rsidR="000E21D8" w:rsidRPr="00B707E0" w:rsidRDefault="000E21D8" w:rsidP="006E4F11">
            <w:pPr>
              <w:contextualSpacing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</w:tr>
      <w:tr w:rsidR="004D73C7" w:rsidRPr="00B707E0" w:rsidTr="004D73C7">
        <w:trPr>
          <w:trHeight w:val="240"/>
        </w:trPr>
        <w:tc>
          <w:tcPr>
            <w:tcW w:w="567" w:type="dxa"/>
          </w:tcPr>
          <w:p w:rsidR="004D73C7" w:rsidRPr="00B707E0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Блокированная жилая застройка</w:t>
            </w:r>
          </w:p>
        </w:tc>
        <w:tc>
          <w:tcPr>
            <w:tcW w:w="4960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минимальная (максимальная) площадь земельных участков блокированные жилые дома не выше 3 этажей – 300 -5000 кв. м;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минимальный отступ строений от красной линии участка или границ участка: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в формируемой новой застройке жилых зон - 5м;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 xml:space="preserve">Минимальный отступ от границ соседнего участка: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до вновь построенного одно-, двухквартирного жилого дома не менее 3 м;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максимальное количество надземных этажей объекта индивидуального жилищного строительства - 3; </w:t>
            </w:r>
          </w:p>
          <w:p w:rsidR="004D73C7" w:rsidRPr="00B707E0" w:rsidRDefault="004D73C7" w:rsidP="004D73C7">
            <w:pPr>
              <w:widowControl w:val="0"/>
              <w:autoSpaceDE w:val="0"/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объекта индивидуального жилищного строительства не более 20 метров;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 застройки участка: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 для сельских поселений – 60 %;</w:t>
            </w:r>
          </w:p>
        </w:tc>
      </w:tr>
      <w:tr w:rsidR="004D73C7" w:rsidRPr="00B707E0" w:rsidTr="004D73C7">
        <w:trPr>
          <w:trHeight w:val="1269"/>
        </w:trPr>
        <w:tc>
          <w:tcPr>
            <w:tcW w:w="567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Обслуживание жилой застройки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0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кодами 3.1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184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3.2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189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3.3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193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3.4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197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3.4.1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10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3.5.1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18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3.6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24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3.7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45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3.10.1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60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4.1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69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4.3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74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4.4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80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4.6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84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4.7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w:anchor="P292" w:history="1">
              <w:r w:rsidRPr="00B707E0">
                <w:rPr>
                  <w:rFonts w:eastAsiaTheme="minorHAnsi"/>
                  <w:sz w:val="24"/>
                  <w:szCs w:val="24"/>
                  <w:lang w:eastAsia="en-US"/>
                </w:rPr>
                <w:t>4.9</w:t>
              </w:r>
            </w:hyperlink>
            <w:r w:rsidRPr="00B707E0">
              <w:rPr>
                <w:rFonts w:eastAsiaTheme="minorHAnsi"/>
                <w:sz w:val="24"/>
                <w:szCs w:val="24"/>
                <w:lang w:eastAsia="en-US"/>
              </w:rPr>
              <w:t>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2.7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0E21D8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widowControl w:val="0"/>
              <w:tabs>
                <w:tab w:val="left" w:pos="172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>минимальная (максимальная) площадь земельного участка, предоставляемого для з</w:t>
            </w:r>
            <w:r>
              <w:rPr>
                <w:sz w:val="24"/>
                <w:szCs w:val="24"/>
              </w:rPr>
              <w:t xml:space="preserve">даний общественно-деловой зоны 10 – </w:t>
            </w:r>
            <w:r w:rsidRPr="00B707E0">
              <w:rPr>
                <w:sz w:val="24"/>
                <w:szCs w:val="24"/>
              </w:rPr>
              <w:t>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1 кв. м;</w:t>
            </w:r>
          </w:p>
          <w:p w:rsidR="004D73C7" w:rsidRPr="00B707E0" w:rsidRDefault="004D73C7" w:rsidP="004D73C7">
            <w:pPr>
              <w:widowControl w:val="0"/>
              <w:tabs>
                <w:tab w:val="left" w:pos="172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0E21D8" w:rsidRDefault="000E21D8" w:rsidP="000E21D8">
            <w:pPr>
              <w:widowControl w:val="0"/>
              <w:tabs>
                <w:tab w:val="left" w:pos="172"/>
              </w:tabs>
              <w:autoSpaceDE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  <w:p w:rsidR="004D73C7" w:rsidRPr="00B707E0" w:rsidRDefault="004D73C7" w:rsidP="004D73C7">
            <w:pPr>
              <w:widowControl w:val="0"/>
              <w:tabs>
                <w:tab w:val="left" w:pos="172"/>
              </w:tabs>
              <w:autoSpaceDE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Минимальная длина стороны участка по уличному фронту регламентируется действующими строительными нормами и правилами и техническими регламентами.</w:t>
            </w:r>
          </w:p>
          <w:p w:rsidR="004D73C7" w:rsidRPr="00B707E0" w:rsidRDefault="004D73C7" w:rsidP="004D73C7">
            <w:pPr>
              <w:widowControl w:val="0"/>
              <w:tabs>
                <w:tab w:val="left" w:pos="172"/>
              </w:tabs>
              <w:autoSpaceDE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Минимальный отступ строений от красной линии участка или границ участка 5 метров</w:t>
            </w:r>
          </w:p>
          <w:p w:rsidR="004D73C7" w:rsidRPr="00B707E0" w:rsidRDefault="004D73C7" w:rsidP="004D73C7">
            <w:pPr>
              <w:tabs>
                <w:tab w:val="left" w:pos="172"/>
              </w:tabs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максимальное количество надземных этажей зданий – 5. </w:t>
            </w:r>
          </w:p>
          <w:p w:rsidR="004D73C7" w:rsidRPr="00B707E0" w:rsidRDefault="004D73C7" w:rsidP="004D73C7">
            <w:pPr>
              <w:tabs>
                <w:tab w:val="left" w:pos="172"/>
              </w:tabs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зданий – 18 м.</w:t>
            </w:r>
          </w:p>
          <w:p w:rsidR="004D73C7" w:rsidRPr="00B707E0" w:rsidRDefault="004D73C7" w:rsidP="004D73C7">
            <w:pPr>
              <w:tabs>
                <w:tab w:val="left" w:pos="172"/>
              </w:tabs>
              <w:spacing w:after="200"/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 застройки участка – 40-50% или определяется по заданию на проектировании</w:t>
            </w:r>
          </w:p>
        </w:tc>
      </w:tr>
      <w:tr w:rsidR="004D73C7" w:rsidRPr="00B707E0" w:rsidTr="004D73C7">
        <w:trPr>
          <w:trHeight w:val="1408"/>
        </w:trPr>
        <w:tc>
          <w:tcPr>
            <w:tcW w:w="567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Дошкольное, начальное и среднее общее образование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0E21D8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3.5.1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0E21D8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>минимальная (максимальная) площадь земельного участка до – 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- для объектов инженерного обеспечения и объектов вспомогательного инженерного назначения от 1 кв. м;</w:t>
            </w:r>
          </w:p>
          <w:p w:rsidR="004D73C7" w:rsidRPr="00B707E0" w:rsidRDefault="004D73C7" w:rsidP="004D73C7">
            <w:pPr>
              <w:widowControl w:val="0"/>
              <w:autoSpaceDE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 xml:space="preserve">Минимальные отступы от красных линий или границ участка -10 м здания общеобразовательных учреждений допускается размещать: на внутриквартальных территориях микрорайона, удаленных от межквартальных проездов с регулярным движением    </w:t>
            </w:r>
            <w:r>
              <w:rPr>
                <w:sz w:val="24"/>
                <w:szCs w:val="24"/>
              </w:rPr>
              <w:t xml:space="preserve">транспорта    на    расстояние </w:t>
            </w:r>
            <w:r w:rsidRPr="00B707E0">
              <w:rPr>
                <w:sz w:val="24"/>
                <w:szCs w:val="24"/>
              </w:rPr>
              <w:t>100 – 170 м;</w:t>
            </w:r>
          </w:p>
          <w:p w:rsidR="000E21D8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sz w:val="24"/>
                <w:szCs w:val="24"/>
              </w:rPr>
              <w:t>На внутриквартальных проездах с периоди</w:t>
            </w:r>
            <w:r>
              <w:rPr>
                <w:sz w:val="24"/>
                <w:szCs w:val="24"/>
              </w:rPr>
              <w:t xml:space="preserve">ческим (нерегулярным) </w:t>
            </w:r>
            <w:r w:rsidR="000E21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движением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автотранспорта только </w:t>
            </w:r>
          </w:p>
          <w:p w:rsidR="000E21D8" w:rsidRDefault="000E21D8" w:rsidP="000E21D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  <w:p w:rsidR="004D73C7" w:rsidRPr="00C52B1B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при условии увеличения минимального разрыва от границы участка учреждения до проезда на 15 - 25 м.</w:t>
            </w:r>
          </w:p>
          <w:p w:rsidR="004D73C7" w:rsidRPr="00B707E0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этажность для дошкольных учреждений -2 этажа, для школ и начального профессионального образования -4 этажа</w:t>
            </w:r>
          </w:p>
          <w:p w:rsidR="004D73C7" w:rsidRPr="00B707E0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Прочие образовательные учреждения по заданию на проектирование с учетом сложившейся застройки.</w:t>
            </w:r>
          </w:p>
          <w:p w:rsidR="004D73C7" w:rsidRPr="00B707E0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процент: застройки участка – 50% .</w:t>
            </w:r>
          </w:p>
          <w:p w:rsidR="004D73C7" w:rsidRPr="00C52B1B" w:rsidRDefault="004D73C7" w:rsidP="004D73C7">
            <w:pPr>
              <w:widowControl w:val="0"/>
              <w:autoSpaceDE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-озеленение 30-50%</w:t>
            </w:r>
          </w:p>
        </w:tc>
      </w:tr>
      <w:tr w:rsidR="004D73C7" w:rsidRPr="00B707E0" w:rsidTr="004D73C7">
        <w:trPr>
          <w:trHeight w:val="135"/>
        </w:trPr>
        <w:tc>
          <w:tcPr>
            <w:tcW w:w="567" w:type="dxa"/>
          </w:tcPr>
          <w:p w:rsidR="004D73C7" w:rsidRPr="00B707E0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496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tabs>
                <w:tab w:val="left" w:pos="1134"/>
              </w:tabs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регламенты не устанавливаются</w:t>
            </w:r>
          </w:p>
        </w:tc>
      </w:tr>
      <w:tr w:rsidR="004D73C7" w:rsidRPr="00B707E0" w:rsidTr="004D73C7">
        <w:trPr>
          <w:trHeight w:val="135"/>
        </w:trPr>
        <w:tc>
          <w:tcPr>
            <w:tcW w:w="567" w:type="dxa"/>
          </w:tcPr>
          <w:p w:rsidR="004D73C7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2" w:type="dxa"/>
          </w:tcPr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Амбулаторно-поликлиническое обслуживание</w:t>
            </w: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960" w:type="dxa"/>
          </w:tcPr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</w:tcPr>
          <w:p w:rsidR="004D73C7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3.4.1</w:t>
            </w: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Pr="00B707E0" w:rsidRDefault="000E21D8" w:rsidP="000E21D8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31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 xml:space="preserve">минимальная (максимальная) площадь земельного участка 10—10000 кв. м, а также определяется по заданию на проектирование, СП 42.13330.2011 «Градостроительство. Планировка и застройка городских и сельских поселений» (актуализированная редакция СНиП 2.07.01-89*), </w:t>
            </w:r>
          </w:p>
          <w:p w:rsidR="004D73C7" w:rsidRPr="00B707E0" w:rsidRDefault="004D73C7" w:rsidP="004D73C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4D73C7" w:rsidRPr="00B707E0" w:rsidRDefault="004D73C7" w:rsidP="004D73C7">
            <w:pPr>
              <w:tabs>
                <w:tab w:val="left" w:pos="1134"/>
              </w:tabs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Минимальный отступ строений от красной линии участка или границ участка 5 метров:</w:t>
            </w:r>
          </w:p>
          <w:p w:rsidR="004D73C7" w:rsidRPr="00B707E0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Максимальное количество надземных этажей зданий – 5 </w:t>
            </w:r>
          </w:p>
          <w:p w:rsidR="004D73C7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зданий – 18 м.</w:t>
            </w:r>
          </w:p>
          <w:p w:rsidR="000E21D8" w:rsidRPr="00B707E0" w:rsidRDefault="000E21D8" w:rsidP="000E21D8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  <w:p w:rsidR="004D73C7" w:rsidRPr="00B707E0" w:rsidRDefault="004D73C7" w:rsidP="004D73C7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 застройки участка –   40-50% или определяется по заданию на проектирование.</w:t>
            </w:r>
          </w:p>
        </w:tc>
      </w:tr>
      <w:tr w:rsidR="004D73C7" w:rsidRPr="00B707E0" w:rsidTr="000E21D8">
        <w:trPr>
          <w:trHeight w:val="2978"/>
        </w:trPr>
        <w:tc>
          <w:tcPr>
            <w:tcW w:w="567" w:type="dxa"/>
          </w:tcPr>
          <w:p w:rsidR="004D73C7" w:rsidRPr="00B707E0" w:rsidRDefault="000E21D8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</w:tcPr>
          <w:p w:rsidR="004D73C7" w:rsidRPr="00B707E0" w:rsidRDefault="004D73C7" w:rsidP="004D73C7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Обеспечение внутреннего правопорядка</w:t>
            </w:r>
          </w:p>
          <w:p w:rsidR="004D73C7" w:rsidRPr="00B707E0" w:rsidRDefault="004D73C7" w:rsidP="004D73C7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4D73C7" w:rsidRPr="00B707E0" w:rsidRDefault="004D73C7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размещение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гражданской обороны,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50" w:type="dxa"/>
          </w:tcPr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8.3</w:t>
            </w: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73C7" w:rsidRPr="00B707E0" w:rsidRDefault="004D73C7" w:rsidP="004D73C7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31" w:type="dxa"/>
          </w:tcPr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минимальный отступ строений от красной линии участка или границ участка -5 метров: или на основании утвержденной документации по планировке территории для размещения промышленного предприятия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зданий 15 метров;</w:t>
            </w:r>
          </w:p>
          <w:p w:rsidR="004D73C7" w:rsidRPr="00B707E0" w:rsidRDefault="004D73C7" w:rsidP="004D73C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Выс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ота технологических сооружений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устанавливается в соответствии с проектной документацией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4D73C7" w:rsidRPr="00B707E0" w:rsidRDefault="004D73C7" w:rsidP="004D73C7">
            <w:pPr>
              <w:tabs>
                <w:tab w:val="left" w:pos="1134"/>
              </w:tabs>
              <w:contextualSpacing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 застройки – по проекту</w:t>
            </w:r>
          </w:p>
        </w:tc>
      </w:tr>
      <w:tr w:rsidR="000E21D8" w:rsidRPr="00B707E0" w:rsidTr="00A951E2">
        <w:trPr>
          <w:trHeight w:val="1127"/>
        </w:trPr>
        <w:tc>
          <w:tcPr>
            <w:tcW w:w="567" w:type="dxa"/>
          </w:tcPr>
          <w:p w:rsidR="000E21D8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Pr="00B707E0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2" w:type="dxa"/>
          </w:tcPr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ведения личного подсобного хозяйства</w:t>
            </w: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Pr="00B707E0" w:rsidRDefault="00A951E2" w:rsidP="00A951E2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Pr="00B707E0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960" w:type="dxa"/>
          </w:tcPr>
          <w:p w:rsidR="00A951E2" w:rsidRPr="00B707E0" w:rsidRDefault="00A951E2" w:rsidP="00A951E2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производство сельскохозяйственной продукции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содержание сельскохозяйственных животных</w:t>
            </w: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Pr="00B707E0" w:rsidRDefault="00A951E2" w:rsidP="00A951E2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21D8" w:rsidRDefault="000E21D8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Default="00A951E2" w:rsidP="004D73C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</w:tcPr>
          <w:p w:rsidR="000E21D8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2.2</w:t>
            </w: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4D73C7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951E2" w:rsidRPr="00B707E0" w:rsidRDefault="00A951E2" w:rsidP="00A951E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31" w:type="dxa"/>
          </w:tcPr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lastRenderedPageBreak/>
              <w:t xml:space="preserve">минимальная (максимальная) площадь земельных участков: 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отдельно стоя</w:t>
            </w:r>
            <w:r>
              <w:rPr>
                <w:sz w:val="24"/>
                <w:szCs w:val="24"/>
              </w:rPr>
              <w:t xml:space="preserve">щие жилые дома коттеджного типа </w:t>
            </w:r>
            <w:r w:rsidRPr="00B707E0">
              <w:rPr>
                <w:sz w:val="24"/>
                <w:szCs w:val="24"/>
              </w:rPr>
              <w:t>на  одну  семью в 1 - 3 этажа –300 – 10000 кв. м;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дома коттеджного типа</w:t>
            </w:r>
            <w:r>
              <w:rPr>
                <w:sz w:val="24"/>
                <w:szCs w:val="24"/>
              </w:rPr>
              <w:t xml:space="preserve"> на одну семью в 1 - 3 этажа – </w:t>
            </w:r>
            <w:r w:rsidRPr="00B707E0">
              <w:rPr>
                <w:sz w:val="24"/>
                <w:szCs w:val="24"/>
              </w:rPr>
              <w:t>300 – 10000 кв. м;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блокированные жилые дома не выше 3 этажей – 300 –10000 кв. м;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для объектов торговли и                         обслуживания –  10 – 2500 кв. м;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для объектов инженерного обеспечения и объектов вспомогательного инженерного назначения от 1 кв. м;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Минимальный размер земельного участка для размещения временных (некапитальных) объектов торговли и услуг от 1 кв. м.</w:t>
            </w:r>
          </w:p>
          <w:p w:rsidR="00A951E2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Минимальная ширина земельных участк</w:t>
            </w:r>
            <w:r>
              <w:rPr>
                <w:sz w:val="24"/>
                <w:szCs w:val="24"/>
              </w:rPr>
              <w:t>ов вдоль фронта улицы (проезда)</w:t>
            </w:r>
            <w:r w:rsidRPr="00B707E0">
              <w:rPr>
                <w:sz w:val="24"/>
                <w:szCs w:val="24"/>
              </w:rPr>
              <w:t xml:space="preserve"> – 8 м; минимальный отступ</w:t>
            </w:r>
            <w:r>
              <w:rPr>
                <w:sz w:val="24"/>
                <w:szCs w:val="24"/>
              </w:rPr>
              <w:t xml:space="preserve"> </w:t>
            </w:r>
            <w:r w:rsidRPr="00B707E0">
              <w:rPr>
                <w:sz w:val="24"/>
                <w:szCs w:val="24"/>
              </w:rPr>
              <w:t xml:space="preserve"> строений </w:t>
            </w:r>
            <w:r>
              <w:rPr>
                <w:sz w:val="24"/>
                <w:szCs w:val="24"/>
              </w:rPr>
              <w:t xml:space="preserve"> </w:t>
            </w:r>
            <w:r w:rsidRPr="00B707E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 </w:t>
            </w:r>
            <w:r w:rsidRPr="00B707E0">
              <w:rPr>
                <w:sz w:val="24"/>
                <w:szCs w:val="24"/>
              </w:rPr>
              <w:t xml:space="preserve"> красной</w:t>
            </w:r>
            <w:r>
              <w:rPr>
                <w:sz w:val="24"/>
                <w:szCs w:val="24"/>
              </w:rPr>
              <w:t xml:space="preserve"> </w:t>
            </w:r>
            <w:r w:rsidRPr="00B707E0">
              <w:rPr>
                <w:sz w:val="24"/>
                <w:szCs w:val="24"/>
              </w:rPr>
              <w:t xml:space="preserve"> линии</w:t>
            </w:r>
            <w:r>
              <w:rPr>
                <w:sz w:val="24"/>
                <w:szCs w:val="24"/>
              </w:rPr>
              <w:t xml:space="preserve"> </w:t>
            </w:r>
            <w:r w:rsidRPr="00B707E0">
              <w:rPr>
                <w:sz w:val="24"/>
                <w:szCs w:val="24"/>
              </w:rPr>
              <w:t xml:space="preserve"> участка </w:t>
            </w:r>
            <w:r>
              <w:rPr>
                <w:sz w:val="24"/>
                <w:szCs w:val="24"/>
              </w:rPr>
              <w:t xml:space="preserve">  </w:t>
            </w:r>
            <w:r w:rsidRPr="00B707E0">
              <w:rPr>
                <w:sz w:val="24"/>
                <w:szCs w:val="24"/>
              </w:rPr>
              <w:t xml:space="preserve">или </w:t>
            </w:r>
          </w:p>
          <w:p w:rsidR="00A951E2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границ участка :</w:t>
            </w:r>
          </w:p>
          <w:p w:rsidR="00A951E2" w:rsidRPr="00B707E0" w:rsidRDefault="00A951E2" w:rsidP="00A951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707E0">
              <w:rPr>
                <w:sz w:val="24"/>
                <w:szCs w:val="24"/>
              </w:rPr>
              <w:t>- в формируемой новой застройке жилых                зон- 5м;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минимальный отступ от границ соседнего участка: 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 до вновь построенного одно-, двухквартирного жилого дома не менее 3 м;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- при реконструкции существующего здания не 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менее 1 м.;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В сло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жившейся застройке, при ширине </w:t>
            </w: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земельного участка 15 метров и менее, для строительства жилого дома минимальный отступ от границы соседнего участка составляет не менее: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1,0 м - для одноэтажного жилого дома;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1,5 м - для двухэтажного жилого дома;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2,0 м - для трехэтажного жилого дома, при условии, что расстояние до расположенного на соседнем земельном участке жилого дома не менее 5 м.;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максимальное количество надземных этажей объекта индивидуального жилищного строительства - 3; </w:t>
            </w:r>
          </w:p>
          <w:p w:rsidR="00A951E2" w:rsidRPr="00B707E0" w:rsidRDefault="00A951E2" w:rsidP="00A951E2">
            <w:pPr>
              <w:widowControl w:val="0"/>
              <w:autoSpaceDE w:val="0"/>
              <w:ind w:firstLine="3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максимальная высота объекта индивидуального жилищного строительства не более 20 метров;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Септики: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- минимальный отступ от границы соседнего земельного участка – не менее 2 м (при условии, что расстояние от фундаментов построек на соседнем земельном участке не менее 5 м.); 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 xml:space="preserve">- водонепроницаемые – на расстоянии не менее 5 м от фундамента построек, 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- фильтрующие – на расстоянии не менее 8 м от фундамента построек;</w:t>
            </w:r>
          </w:p>
          <w:p w:rsidR="00A951E2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707E0">
              <w:rPr>
                <w:rFonts w:eastAsiaTheme="minorHAnsi"/>
                <w:sz w:val="22"/>
                <w:szCs w:val="22"/>
                <w:lang w:eastAsia="en-US"/>
              </w:rPr>
              <w:t>- при отсутствии централизованной канализации расстояние от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707E0">
              <w:rPr>
                <w:rFonts w:eastAsiaTheme="minorHAnsi"/>
                <w:sz w:val="22"/>
                <w:szCs w:val="22"/>
                <w:lang w:eastAsia="en-US"/>
              </w:rPr>
              <w:t xml:space="preserve"> туалета до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707E0">
              <w:rPr>
                <w:rFonts w:eastAsiaTheme="minorHAnsi"/>
                <w:sz w:val="22"/>
                <w:szCs w:val="22"/>
                <w:lang w:eastAsia="en-US"/>
              </w:rPr>
              <w:t xml:space="preserve"> стен соседнего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707E0">
              <w:rPr>
                <w:rFonts w:eastAsiaTheme="minorHAnsi"/>
                <w:sz w:val="22"/>
                <w:szCs w:val="22"/>
                <w:lang w:eastAsia="en-US"/>
              </w:rPr>
              <w:t xml:space="preserve"> жилого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707E0">
              <w:rPr>
                <w:rFonts w:eastAsiaTheme="minorHAnsi"/>
                <w:sz w:val="22"/>
                <w:szCs w:val="22"/>
                <w:lang w:eastAsia="en-US"/>
              </w:rPr>
              <w:t xml:space="preserve">дома </w:t>
            </w:r>
          </w:p>
          <w:p w:rsidR="00A951E2" w:rsidRDefault="00A951E2" w:rsidP="00A951E2">
            <w:pPr>
              <w:spacing w:after="20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</w:t>
            </w:r>
          </w:p>
          <w:p w:rsidR="00A951E2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2"/>
                <w:szCs w:val="22"/>
                <w:lang w:eastAsia="en-US"/>
              </w:rPr>
              <w:t>необходимо принимать не менее 12 м., до источника водоснабжения (колодца)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– не менее </w:t>
            </w:r>
            <w:r w:rsidRPr="00B707E0">
              <w:rPr>
                <w:rFonts w:eastAsiaTheme="minorHAnsi"/>
                <w:sz w:val="22"/>
                <w:szCs w:val="22"/>
                <w:lang w:eastAsia="en-US"/>
              </w:rPr>
              <w:t>25 м.</w:t>
            </w:r>
          </w:p>
          <w:p w:rsidR="000E21D8" w:rsidRPr="00B707E0" w:rsidRDefault="00A951E2" w:rsidP="00A951E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7E0">
              <w:rPr>
                <w:rFonts w:eastAsiaTheme="minorHAnsi"/>
                <w:sz w:val="24"/>
                <w:szCs w:val="24"/>
                <w:lang w:eastAsia="en-US"/>
              </w:rPr>
              <w:t>Максимальный процент застройки участка  – 60%;</w:t>
            </w:r>
          </w:p>
        </w:tc>
      </w:tr>
    </w:tbl>
    <w:p w:rsidR="004D73C7" w:rsidRDefault="004D73C7" w:rsidP="004D73C7">
      <w:pPr>
        <w:ind w:firstLine="851"/>
        <w:jc w:val="both"/>
        <w:rPr>
          <w:rFonts w:eastAsia="SimSun"/>
          <w:color w:val="000000"/>
          <w:sz w:val="24"/>
          <w:szCs w:val="24"/>
          <w:u w:val="single"/>
          <w:lang w:eastAsia="zh-CN"/>
        </w:rPr>
      </w:pPr>
    </w:p>
    <w:p w:rsidR="009A4FC0" w:rsidRDefault="009A4FC0" w:rsidP="009A4F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4FC0">
        <w:rPr>
          <w:sz w:val="28"/>
          <w:szCs w:val="28"/>
        </w:rPr>
        <w:t>Откорректировать</w:t>
      </w:r>
      <w:r w:rsidRPr="009A4FC0">
        <w:rPr>
          <w:color w:val="000000"/>
          <w:sz w:val="28"/>
          <w:szCs w:val="28"/>
        </w:rPr>
        <w:t xml:space="preserve"> картографические материалы в соответствии с документацией по планировке территории (проект планировки и проект межевания территории) расположенной в границах курортной зоны ст-цы Должанская Ейского района, утвержденной постановлением администрации муниципального образования Ейский район от 3 октября 2018 года № 797 «Об утверждении документации по планировке территории (проект планировки и проект межевания территории) расположенной в границах курортной зоны ст</w:t>
      </w:r>
      <w:r>
        <w:rPr>
          <w:color w:val="000000"/>
          <w:sz w:val="28"/>
          <w:szCs w:val="28"/>
        </w:rPr>
        <w:t>ани</w:t>
      </w:r>
      <w:r w:rsidRPr="009A4FC0">
        <w:rPr>
          <w:color w:val="000000"/>
          <w:sz w:val="28"/>
          <w:szCs w:val="28"/>
        </w:rPr>
        <w:t>цы Должанская Ейского района» в части нанесения границ территориальной зоны «Р-1. Зона рекреационного назначения» на прибрежной территории.</w:t>
      </w:r>
    </w:p>
    <w:p w:rsidR="009A4FC0" w:rsidRPr="009A4FC0" w:rsidRDefault="009A4FC0" w:rsidP="009A4F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A4FC0">
        <w:rPr>
          <w:sz w:val="28"/>
          <w:szCs w:val="28"/>
        </w:rPr>
        <w:t xml:space="preserve">С целью размещения водозаборных сооружений, отобразить в части </w:t>
      </w:r>
      <w:r w:rsidRPr="009A4FC0">
        <w:rPr>
          <w:sz w:val="28"/>
          <w:szCs w:val="28"/>
          <w:lang w:val="en-US"/>
        </w:rPr>
        <w:t>II</w:t>
      </w:r>
      <w:r w:rsidRPr="009A4FC0">
        <w:rPr>
          <w:sz w:val="28"/>
          <w:szCs w:val="28"/>
        </w:rPr>
        <w:t xml:space="preserve"> «Карта градостроительного зонирования» территориальную зону «П-5. Зона предприятий, производств и объектов V класса опасности СЗЗ-50 м» в соответствии с Генеральным планом Должанского сельского поселения на территории ограниченной земельными участками с кадастровыми номерами 23:08:0104000:606 и 23:08:0104000:607.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3A4BDD" w:rsidRDefault="003A4BDD" w:rsidP="00A951E2">
      <w:pPr>
        <w:widowControl w:val="0"/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</w:p>
    <w:p w:rsidR="00064B6C" w:rsidRPr="00A951E2" w:rsidRDefault="00064B6C" w:rsidP="00A951E2">
      <w:pPr>
        <w:widowControl w:val="0"/>
        <w:jc w:val="both"/>
        <w:rPr>
          <w:b/>
          <w:bCs/>
          <w:sz w:val="28"/>
          <w:szCs w:val="28"/>
          <w:u w:val="single"/>
        </w:rPr>
      </w:pPr>
      <w:bookmarkStart w:id="15" w:name="_GoBack"/>
      <w:bookmarkEnd w:id="15"/>
    </w:p>
    <w:p w:rsidR="005F2014" w:rsidRPr="0087024A" w:rsidRDefault="009A4FC0" w:rsidP="005F201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5F2014" w:rsidRPr="008702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F2014" w:rsidRPr="0087024A">
        <w:rPr>
          <w:sz w:val="28"/>
          <w:szCs w:val="28"/>
        </w:rPr>
        <w:t xml:space="preserve"> управления</w:t>
      </w:r>
    </w:p>
    <w:p w:rsidR="009A4FC0" w:rsidRDefault="005F2014" w:rsidP="005F2014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администрации </w:t>
      </w:r>
    </w:p>
    <w:p w:rsidR="005F2014" w:rsidRPr="0087024A" w:rsidRDefault="005F2014" w:rsidP="005F2014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                                                                  </w:t>
      </w:r>
      <w:r w:rsidR="009A4FC0">
        <w:rPr>
          <w:sz w:val="28"/>
          <w:szCs w:val="28"/>
        </w:rPr>
        <w:t xml:space="preserve">        </w:t>
      </w:r>
      <w:r w:rsidRPr="0087024A">
        <w:rPr>
          <w:sz w:val="28"/>
          <w:szCs w:val="28"/>
        </w:rPr>
        <w:t xml:space="preserve">                               </w:t>
      </w:r>
      <w:r w:rsidR="009A4FC0">
        <w:rPr>
          <w:sz w:val="28"/>
          <w:szCs w:val="28"/>
        </w:rPr>
        <w:t>Е.Г. Медведева</w:t>
      </w:r>
    </w:p>
    <w:p w:rsidR="005F2014" w:rsidRDefault="005F2014" w:rsidP="005F2014">
      <w:pPr>
        <w:widowControl w:val="0"/>
        <w:ind w:firstLine="540"/>
        <w:jc w:val="both"/>
        <w:rPr>
          <w:b/>
          <w:bCs/>
          <w:sz w:val="24"/>
          <w:szCs w:val="24"/>
          <w:u w:val="single"/>
        </w:rPr>
      </w:pPr>
    </w:p>
    <w:sectPr w:rsidR="005F2014" w:rsidSect="0088202D">
      <w:type w:val="continuous"/>
      <w:pgSz w:w="16838" w:h="11906" w:orient="landscape"/>
      <w:pgMar w:top="1702" w:right="1134" w:bottom="566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7B" w:rsidRDefault="00DE017B" w:rsidP="00BD6574">
      <w:r>
        <w:separator/>
      </w:r>
    </w:p>
  </w:endnote>
  <w:endnote w:type="continuationSeparator" w:id="0">
    <w:p w:rsidR="00DE017B" w:rsidRDefault="00DE017B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7B" w:rsidRDefault="00DE017B" w:rsidP="00BD6574">
      <w:r>
        <w:separator/>
      </w:r>
    </w:p>
  </w:footnote>
  <w:footnote w:type="continuationSeparator" w:id="0">
    <w:p w:rsidR="00DE017B" w:rsidRDefault="00DE017B" w:rsidP="00B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AE19E8"/>
    <w:multiLevelType w:val="hybridMultilevel"/>
    <w:tmpl w:val="1A8A70AA"/>
    <w:lvl w:ilvl="0" w:tplc="914ED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38F13D2E"/>
    <w:multiLevelType w:val="hybridMultilevel"/>
    <w:tmpl w:val="F996B0CA"/>
    <w:lvl w:ilvl="0" w:tplc="D236E6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10"/>
  </w:num>
  <w:num w:numId="12">
    <w:abstractNumId w:val="7"/>
  </w:num>
  <w:num w:numId="13">
    <w:abstractNumId w:val="6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311E6"/>
    <w:rsid w:val="00031B4F"/>
    <w:rsid w:val="00031BE2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4B6C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7732"/>
    <w:rsid w:val="000D114B"/>
    <w:rsid w:val="000D19D1"/>
    <w:rsid w:val="000D1A0A"/>
    <w:rsid w:val="000D2CBF"/>
    <w:rsid w:val="000E0069"/>
    <w:rsid w:val="000E1E4A"/>
    <w:rsid w:val="000E21D8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3677"/>
    <w:rsid w:val="001B51DC"/>
    <w:rsid w:val="001B61B6"/>
    <w:rsid w:val="001B6968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20DB"/>
    <w:rsid w:val="00272626"/>
    <w:rsid w:val="00272B0B"/>
    <w:rsid w:val="00273048"/>
    <w:rsid w:val="00274AB3"/>
    <w:rsid w:val="00275574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8E3"/>
    <w:rsid w:val="00424EB7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3C7"/>
    <w:rsid w:val="004D778A"/>
    <w:rsid w:val="004E03C4"/>
    <w:rsid w:val="004E1E37"/>
    <w:rsid w:val="004E2BB6"/>
    <w:rsid w:val="004E3FB5"/>
    <w:rsid w:val="004E5751"/>
    <w:rsid w:val="004E78A8"/>
    <w:rsid w:val="004F04BC"/>
    <w:rsid w:val="004F236E"/>
    <w:rsid w:val="004F2FF9"/>
    <w:rsid w:val="004F3BA2"/>
    <w:rsid w:val="004F4BE0"/>
    <w:rsid w:val="004F4D4E"/>
    <w:rsid w:val="00500040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E0E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5B21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1E2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24B2"/>
    <w:rsid w:val="00B02CB9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5127"/>
    <w:rsid w:val="00BB7885"/>
    <w:rsid w:val="00BB7956"/>
    <w:rsid w:val="00BB7AEF"/>
    <w:rsid w:val="00BC0642"/>
    <w:rsid w:val="00BC1304"/>
    <w:rsid w:val="00BC2497"/>
    <w:rsid w:val="00BC2D81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5695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3127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BFD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17B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4C85"/>
    <w:rsid w:val="00E04E75"/>
    <w:rsid w:val="00E0587E"/>
    <w:rsid w:val="00E06DAA"/>
    <w:rsid w:val="00E11105"/>
    <w:rsid w:val="00E12455"/>
    <w:rsid w:val="00E127A2"/>
    <w:rsid w:val="00E13D58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EE1"/>
    <w:rsid w:val="00EC24DC"/>
    <w:rsid w:val="00EC2B9C"/>
    <w:rsid w:val="00EC34FF"/>
    <w:rsid w:val="00EC6F54"/>
    <w:rsid w:val="00EC77FA"/>
    <w:rsid w:val="00ED1926"/>
    <w:rsid w:val="00ED2661"/>
    <w:rsid w:val="00ED366A"/>
    <w:rsid w:val="00ED3FCA"/>
    <w:rsid w:val="00ED42CC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133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83127"/>
  </w:style>
  <w:style w:type="numbering" w:customStyle="1" w:styleId="210">
    <w:name w:val="Нет списка21"/>
    <w:next w:val="a2"/>
    <w:uiPriority w:val="99"/>
    <w:semiHidden/>
    <w:unhideWhenUsed/>
    <w:rsid w:val="00C83127"/>
  </w:style>
  <w:style w:type="numbering" w:customStyle="1" w:styleId="312">
    <w:name w:val="Нет списка31"/>
    <w:next w:val="a2"/>
    <w:uiPriority w:val="99"/>
    <w:semiHidden/>
    <w:unhideWhenUsed/>
    <w:rsid w:val="00C8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360A-CBD1-47A9-BC61-2FC2CD02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22</cp:revision>
  <cp:lastPrinted>2020-08-18T09:36:00Z</cp:lastPrinted>
  <dcterms:created xsi:type="dcterms:W3CDTF">2017-06-06T21:04:00Z</dcterms:created>
  <dcterms:modified xsi:type="dcterms:W3CDTF">2020-08-18T09:36:00Z</dcterms:modified>
</cp:coreProperties>
</file>